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12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12.3.1: The information about COVID-19 under the “Education and Schooling” has been reworded to be past tense and briefly mention concerns about long-term effects on education. 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12.3.1: The statistical bullet points have been updated to 2021 data. 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12.3.2: Engel v. Vitale and Wisconsin v. Yoder have been added to the drop-down table about Supreme Court Rulings on Education.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12.3.2: Information about the Programme for International Student Assessment (PISA) has been updated to include their delay and new study approach.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12.3.2: The 2018-19 review of teachers’ salaries in Arkansas has been replaced with a 2022-23 analysis.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12.3.3: Common Core statistics have been changed from 2019-20 data to 2023. 12 states are in the process of repealing Common Core, and 16 states have or are in the process of passing legislation to revise it. 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12.4.1: School dropout rates have been updated from The Gates Foundation in 2006 to the National Dropout Prevention Center in 2022. 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12.4.1: </w:t>
      </w:r>
      <w:r w:rsidDel="00000000" w:rsidR="00000000" w:rsidRPr="00000000">
        <w:rPr>
          <w:b w:val="1"/>
          <w:rtl w:val="0"/>
        </w:rPr>
        <w:t xml:space="preserve">Figure 12.4.1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Figure 12.4.2</w:t>
      </w:r>
      <w:r w:rsidDel="00000000" w:rsidR="00000000" w:rsidRPr="00000000">
        <w:rPr>
          <w:rtl w:val="0"/>
        </w:rPr>
        <w:t xml:space="preserve"> has been updated from 2019 to 2022 data. 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Change: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LO 12.5.2: The number of college students participating in distance learning has changed from 5.8 million (2016) to 9 million (2023). 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1F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